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B42810" w:rsidTr="00716C75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B4281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64" w:type="dxa"/>
                </w:tcPr>
                <w:p w:rsidR="001E4193" w:rsidRPr="00B4281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64" w:type="dxa"/>
                </w:tcPr>
                <w:p w:rsidR="001E4193" w:rsidRPr="00B42810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65" w:type="dxa"/>
                </w:tcPr>
                <w:p w:rsidR="001E4193" w:rsidRPr="00B4281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B42810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69" w:type="dxa"/>
                </w:tcPr>
                <w:p w:rsidR="001E4193" w:rsidRPr="00B42810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B42810" w:rsidTr="00716C75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637601" w:rsidRDefault="00727844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2810" w:rsidRPr="00637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Financial management</w:t>
                  </w:r>
                </w:p>
              </w:tc>
              <w:tc>
                <w:tcPr>
                  <w:tcW w:w="1464" w:type="dxa"/>
                </w:tcPr>
                <w:p w:rsidR="00B1633A" w:rsidRPr="00B42810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B42810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B1633A" w:rsidRPr="00B42810" w:rsidRDefault="00B4281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3+1</w:t>
                  </w:r>
                </w:p>
              </w:tc>
              <w:tc>
                <w:tcPr>
                  <w:tcW w:w="1464" w:type="dxa"/>
                </w:tcPr>
                <w:p w:rsidR="00B1633A" w:rsidRPr="00B42810" w:rsidRDefault="00B42810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69" w:type="dxa"/>
                </w:tcPr>
                <w:p w:rsidR="00B1633A" w:rsidRPr="00B42810" w:rsidRDefault="0079304E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E4193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B42810" w:rsidTr="00716C75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42810" w:rsidTr="00716C75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B4281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B4281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42810" w:rsidTr="00716C75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B42810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B4281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B42810" w:rsidRDefault="00B42810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In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, it is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aimed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teach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finance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relationship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finance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time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value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of risk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return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financial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assets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their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  <w:lang w:val="tr-TR"/>
                    </w:rPr>
                    <w:t>analysis</w:t>
                  </w:r>
                  <w:proofErr w:type="spellEnd"/>
                  <w:r w:rsidRPr="00B42810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660D1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B4281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B4281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4A6DB1" w:rsidRPr="00B42810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B42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:rsidR="00B42810" w:rsidRPr="00B42810" w:rsidRDefault="00B42810" w:rsidP="00B4281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Knows basic concepts about financial system, financial markets, financial instruments and institutions.</w:t>
                  </w:r>
                </w:p>
                <w:p w:rsidR="00B42810" w:rsidRPr="00B42810" w:rsidRDefault="00B42810" w:rsidP="00B4281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Calculate the future and present time value of money.</w:t>
                  </w:r>
                </w:p>
                <w:p w:rsidR="00B42810" w:rsidRPr="00B42810" w:rsidRDefault="00B42810" w:rsidP="00B4281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Organizes business budgets.</w:t>
                  </w:r>
                </w:p>
                <w:p w:rsidR="00C80F1B" w:rsidRPr="00B42810" w:rsidRDefault="00B42810" w:rsidP="00B4281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Makes financial analysis.</w:t>
                  </w:r>
                </w:p>
              </w:tc>
            </w:tr>
            <w:tr w:rsidR="004660D1" w:rsidRPr="00B42810" w:rsidTr="00716C75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B4281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B4281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C80F1B" w:rsidRPr="00B42810" w:rsidRDefault="00C46D11" w:rsidP="00B21B8D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Financial Management and</w:t>
                  </w:r>
                  <w:r w:rsidRPr="00B42810">
                    <w:rPr>
                      <w:sz w:val="24"/>
                      <w:szCs w:val="24"/>
                    </w:rPr>
                    <w:t xml:space="preserve"> Functions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42810">
                    <w:rPr>
                      <w:sz w:val="24"/>
                      <w:szCs w:val="24"/>
                    </w:rPr>
                    <w:t>Financial Markets and Classification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42810">
                    <w:rPr>
                      <w:sz w:val="24"/>
                      <w:szCs w:val="24"/>
                    </w:rPr>
                    <w:t>Interest Rate and Determinants of Interest Rates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42810">
                    <w:rPr>
                      <w:sz w:val="24"/>
                      <w:szCs w:val="24"/>
                    </w:rPr>
                    <w:t>Time Value of Money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42810">
                    <w:rPr>
                      <w:sz w:val="24"/>
                      <w:szCs w:val="24"/>
                    </w:rPr>
                    <w:t>Financial Planning and Budgets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42810">
                    <w:rPr>
                      <w:sz w:val="24"/>
                      <w:szCs w:val="24"/>
                    </w:rPr>
                    <w:t>Working Capital Management</w:t>
                  </w:r>
                </w:p>
              </w:tc>
            </w:tr>
            <w:tr w:rsidR="004660D1" w:rsidRPr="00B42810" w:rsidTr="00716C75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B42810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668" w:type="dxa"/>
                  <w:gridSpan w:val="6"/>
                </w:tcPr>
                <w:p w:rsidR="004660D1" w:rsidRPr="00B42810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E5A0B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EC44A9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Management and</w:t>
                  </w:r>
                  <w:r w:rsidR="00B42810"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Functions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Development of Finance and Fundamental Principles in Financial Management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Markets and Classification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Regulatory and Supervisory Institutions in Financial Markets, Interest Rate and Determinants of Interest Rates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Value of Money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Value of Money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Value of Money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Break-even Analysis and Leverage Analysis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Break-even Analysis and Leverage Analysis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Planning and Budgets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Planning and Budgets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Working Capital Management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Working Capital Management</w:t>
                  </w:r>
                </w:p>
              </w:tc>
            </w:tr>
            <w:tr w:rsidR="00B42810" w:rsidRPr="00B42810" w:rsidTr="00716C75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42810" w:rsidRPr="00B42810" w:rsidRDefault="00B42810" w:rsidP="00B428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42810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B42810" w:rsidRPr="00B42810" w:rsidRDefault="00B42810" w:rsidP="00B42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Short-Term Financing Tools</w:t>
                  </w:r>
                </w:p>
              </w:tc>
            </w:tr>
            <w:bookmarkEnd w:id="0"/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EC44A9" w:rsidRDefault="00EC44A9" w:rsidP="00EC44A9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42810">
                    <w:rPr>
                      <w:sz w:val="24"/>
                      <w:szCs w:val="24"/>
                    </w:rPr>
                    <w:t>Ceylan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, A. &amp;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Korkmaz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, T. (2017).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İşletmelerde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Finansal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, Bursa: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Ekin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Basım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Yayın</w:t>
                  </w:r>
                  <w:proofErr w:type="spellEnd"/>
                  <w:r w:rsidRPr="00B428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810">
                    <w:rPr>
                      <w:sz w:val="24"/>
                      <w:szCs w:val="24"/>
                    </w:rPr>
                    <w:t>Dağıtım</w:t>
                  </w:r>
                  <w:proofErr w:type="spellEnd"/>
                </w:p>
                <w:p w:rsidR="00637601" w:rsidRPr="00EC6C04" w:rsidRDefault="00637601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637601" w:rsidRPr="00B42810" w:rsidTr="00401AEB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637601" w:rsidRPr="00B42810" w:rsidRDefault="0063760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428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637601" w:rsidRPr="00B42810" w:rsidRDefault="0063760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428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637601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2810" w:rsidRPr="00637601" w:rsidTr="004A6DB1">
              <w:trPr>
                <w:trHeight w:val="460"/>
              </w:trPr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42810" w:rsidRPr="00637601" w:rsidTr="004A6DB1">
              <w:trPr>
                <w:trHeight w:val="460"/>
              </w:trPr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42810" w:rsidRPr="00637601" w:rsidTr="004A6DB1">
              <w:trPr>
                <w:trHeight w:val="460"/>
              </w:trPr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42810" w:rsidRPr="00637601" w:rsidTr="004A6DB1">
              <w:trPr>
                <w:trHeight w:val="460"/>
              </w:trPr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637601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637601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637601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63760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63760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637601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637601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637601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637601">
              <w:t>Relation of Program Outcomes and Related Course</w:t>
            </w:r>
          </w:p>
          <w:p w:rsidR="001E4193" w:rsidRPr="0063760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637601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63760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2810" w:rsidRPr="00637601" w:rsidTr="002A5DF1">
              <w:trPr>
                <w:trHeight w:val="555"/>
              </w:trPr>
              <w:tc>
                <w:tcPr>
                  <w:tcW w:w="2224" w:type="dxa"/>
                </w:tcPr>
                <w:p w:rsidR="00B42810" w:rsidRPr="00637601" w:rsidRDefault="00B42810" w:rsidP="00B42810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731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B42810" w:rsidRPr="00637601" w:rsidRDefault="00B42810" w:rsidP="00B42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82" w:rsidRDefault="00030682" w:rsidP="002B2BC7">
      <w:r>
        <w:separator/>
      </w:r>
    </w:p>
  </w:endnote>
  <w:endnote w:type="continuationSeparator" w:id="0">
    <w:p w:rsidR="00030682" w:rsidRDefault="000306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82" w:rsidRDefault="00030682" w:rsidP="002B2BC7">
      <w:r>
        <w:separator/>
      </w:r>
    </w:p>
  </w:footnote>
  <w:footnote w:type="continuationSeparator" w:id="0">
    <w:p w:rsidR="00030682" w:rsidRDefault="000306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16C7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="00365E2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365E23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365E2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716C7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365E2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0682"/>
    <w:rsid w:val="00031B7D"/>
    <w:rsid w:val="000739AE"/>
    <w:rsid w:val="000756BA"/>
    <w:rsid w:val="00090B5C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65E23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4441A"/>
    <w:rsid w:val="0058377F"/>
    <w:rsid w:val="005A25B0"/>
    <w:rsid w:val="005A4303"/>
    <w:rsid w:val="005B5938"/>
    <w:rsid w:val="005B7E78"/>
    <w:rsid w:val="005C7048"/>
    <w:rsid w:val="005D5A18"/>
    <w:rsid w:val="00617749"/>
    <w:rsid w:val="00637601"/>
    <w:rsid w:val="00653A19"/>
    <w:rsid w:val="00662FDF"/>
    <w:rsid w:val="006934C2"/>
    <w:rsid w:val="006D5422"/>
    <w:rsid w:val="00707970"/>
    <w:rsid w:val="007148A0"/>
    <w:rsid w:val="00716C75"/>
    <w:rsid w:val="00727844"/>
    <w:rsid w:val="00745301"/>
    <w:rsid w:val="00747EAF"/>
    <w:rsid w:val="00775EF7"/>
    <w:rsid w:val="0079304E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819FA"/>
    <w:rsid w:val="00A866F1"/>
    <w:rsid w:val="00A97765"/>
    <w:rsid w:val="00AA4FAF"/>
    <w:rsid w:val="00AC3375"/>
    <w:rsid w:val="00AC3D88"/>
    <w:rsid w:val="00B02952"/>
    <w:rsid w:val="00B07999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BE5A0B"/>
    <w:rsid w:val="00C46D11"/>
    <w:rsid w:val="00C80F1B"/>
    <w:rsid w:val="00D425A6"/>
    <w:rsid w:val="00D42E84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44A9"/>
    <w:rsid w:val="00EC6C04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16</cp:revision>
  <cp:lastPrinted>2021-04-08T05:58:00Z</cp:lastPrinted>
  <dcterms:created xsi:type="dcterms:W3CDTF">2022-03-31T18:14:00Z</dcterms:created>
  <dcterms:modified xsi:type="dcterms:W3CDTF">2022-11-01T19:40:00Z</dcterms:modified>
</cp:coreProperties>
</file>